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8EB00" w14:textId="77777777" w:rsidR="00231829" w:rsidRPr="00F947D7" w:rsidRDefault="00231829" w:rsidP="00231829">
      <w:pPr>
        <w:spacing w:before="0" w:line="240" w:lineRule="auto"/>
        <w:ind w:firstLine="0"/>
        <w:jc w:val="center"/>
        <w:rPr>
          <w:b/>
          <w:bCs/>
          <w:szCs w:val="22"/>
          <w:u w:val="single"/>
        </w:rPr>
      </w:pPr>
      <w:r w:rsidRPr="00F947D7">
        <w:rPr>
          <w:b/>
          <w:bCs/>
          <w:szCs w:val="22"/>
          <w:u w:val="single"/>
        </w:rPr>
        <w:t>END USER LICENSE AGREEMENT</w:t>
      </w:r>
    </w:p>
    <w:p w14:paraId="295C39AA" w14:textId="77777777" w:rsidR="00231829" w:rsidRPr="00F947D7" w:rsidRDefault="00231829" w:rsidP="00231829">
      <w:pPr>
        <w:spacing w:before="0" w:line="240" w:lineRule="auto"/>
        <w:ind w:firstLine="0"/>
        <w:jc w:val="center"/>
        <w:rPr>
          <w:b/>
          <w:bCs/>
          <w:szCs w:val="22"/>
        </w:rPr>
      </w:pPr>
    </w:p>
    <w:p w14:paraId="521D005B" w14:textId="77777777" w:rsidR="00231829" w:rsidRPr="00F947D7" w:rsidRDefault="00231829" w:rsidP="00231829">
      <w:pPr>
        <w:spacing w:before="0" w:line="240" w:lineRule="auto"/>
        <w:ind w:firstLine="0"/>
        <w:rPr>
          <w:b/>
          <w:szCs w:val="22"/>
        </w:rPr>
      </w:pPr>
      <w:r w:rsidRPr="00F947D7">
        <w:rPr>
          <w:szCs w:val="22"/>
          <w:lang w:eastAsia="ja-JP"/>
        </w:rPr>
        <w:t xml:space="preserve">This is an agreement between </w:t>
      </w:r>
      <w:r w:rsidRPr="00F947D7">
        <w:rPr>
          <w:b/>
          <w:szCs w:val="22"/>
          <w:lang w:eastAsia="ja-JP"/>
        </w:rPr>
        <w:t>IP I</w:t>
      </w:r>
      <w:r w:rsidRPr="00F947D7">
        <w:rPr>
          <w:rFonts w:eastAsia="MS Mincho"/>
          <w:b/>
          <w:szCs w:val="22"/>
          <w:lang w:eastAsia="ja-JP"/>
        </w:rPr>
        <w:t>nfusion, Inc.</w:t>
      </w:r>
      <w:r w:rsidRPr="00F947D7">
        <w:rPr>
          <w:b/>
          <w:szCs w:val="22"/>
        </w:rPr>
        <w:t xml:space="preserve">, </w:t>
      </w:r>
      <w:r w:rsidRPr="00F947D7">
        <w:rPr>
          <w:szCs w:val="22"/>
        </w:rPr>
        <w:t xml:space="preserve">located at </w:t>
      </w:r>
      <w:r w:rsidRPr="00F947D7">
        <w:rPr>
          <w:szCs w:val="22"/>
          <w:lang w:eastAsia="ja-JP"/>
        </w:rPr>
        <w:t>3965 Freedom Circle, Suite 200, Santa Clara, California 95054</w:t>
      </w:r>
      <w:r w:rsidRPr="00F947D7">
        <w:rPr>
          <w:szCs w:val="22"/>
        </w:rPr>
        <w:t xml:space="preserve"> </w:t>
      </w:r>
      <w:r w:rsidRPr="00F947D7">
        <w:rPr>
          <w:b/>
          <w:szCs w:val="22"/>
        </w:rPr>
        <w:t>(“IPI”)</w:t>
      </w:r>
      <w:r w:rsidRPr="00F947D7">
        <w:rPr>
          <w:szCs w:val="22"/>
        </w:rPr>
        <w:t>, and the person or company that is booting, accessing, installing, or using the version of software provided by IPI with this agreement (“</w:t>
      </w:r>
      <w:r w:rsidRPr="00F947D7">
        <w:rPr>
          <w:b/>
          <w:szCs w:val="22"/>
        </w:rPr>
        <w:t>Software”</w:t>
      </w:r>
      <w:r w:rsidRPr="00F947D7">
        <w:rPr>
          <w:szCs w:val="22"/>
        </w:rPr>
        <w:t>). (“</w:t>
      </w:r>
      <w:r w:rsidRPr="00F947D7">
        <w:rPr>
          <w:b/>
          <w:bCs/>
          <w:szCs w:val="22"/>
        </w:rPr>
        <w:t>Agreement</w:t>
      </w:r>
      <w:r w:rsidRPr="00F947D7">
        <w:rPr>
          <w:szCs w:val="22"/>
        </w:rPr>
        <w:t>”) If you or your company has a separate license agreement with IPI for the Software, this agreement may not apply and terms in the separate license agreement controls over these terms. You or as an agent for your company (</w:t>
      </w:r>
      <w:r w:rsidRPr="00F947D7">
        <w:rPr>
          <w:b/>
          <w:szCs w:val="22"/>
        </w:rPr>
        <w:t>“Licensee”</w:t>
      </w:r>
      <w:r w:rsidRPr="00F947D7">
        <w:rPr>
          <w:szCs w:val="22"/>
        </w:rPr>
        <w:t xml:space="preserve">) agree to these terms by accepting these terms, or by booting, accessing, installing or using the Software. If you disagree with these terms, do not accept them and do not boot, access, install, or use the Software.  </w:t>
      </w:r>
    </w:p>
    <w:p w14:paraId="3DA3757B" w14:textId="77777777" w:rsidR="00231829" w:rsidRPr="00F947D7" w:rsidRDefault="00231829" w:rsidP="00231829">
      <w:pPr>
        <w:tabs>
          <w:tab w:val="left" w:pos="720"/>
          <w:tab w:val="left" w:pos="1440"/>
          <w:tab w:val="left" w:pos="2160"/>
          <w:tab w:val="left" w:pos="2880"/>
          <w:tab w:val="left" w:pos="3600"/>
          <w:tab w:val="left" w:pos="4320"/>
          <w:tab w:val="left" w:pos="5040"/>
          <w:tab w:val="left" w:pos="5760"/>
          <w:tab w:val="left" w:pos="6480"/>
          <w:tab w:val="left" w:pos="7200"/>
        </w:tabs>
        <w:spacing w:before="0" w:line="240" w:lineRule="auto"/>
        <w:ind w:firstLine="0"/>
        <w:rPr>
          <w:szCs w:val="22"/>
        </w:rPr>
      </w:pPr>
    </w:p>
    <w:p w14:paraId="42DEC208" w14:textId="77777777" w:rsidR="00231829" w:rsidRPr="00F947D7" w:rsidRDefault="00231829" w:rsidP="00231829">
      <w:pPr>
        <w:tabs>
          <w:tab w:val="left" w:pos="720"/>
          <w:tab w:val="left" w:pos="1440"/>
          <w:tab w:val="left" w:pos="2160"/>
          <w:tab w:val="left" w:pos="2880"/>
          <w:tab w:val="left" w:pos="3600"/>
          <w:tab w:val="left" w:pos="4320"/>
          <w:tab w:val="left" w:pos="5040"/>
          <w:tab w:val="left" w:pos="5760"/>
          <w:tab w:val="left" w:pos="6480"/>
          <w:tab w:val="left" w:pos="7200"/>
        </w:tabs>
        <w:spacing w:before="0" w:line="240" w:lineRule="auto"/>
        <w:ind w:firstLine="0"/>
        <w:rPr>
          <w:szCs w:val="22"/>
        </w:rPr>
      </w:pPr>
      <w:r w:rsidRPr="00F947D7">
        <w:rPr>
          <w:szCs w:val="22"/>
        </w:rPr>
        <w:t>This is a license agreement to use the Software, perpetually, in binary only, as an operating system on a single hardware device.</w:t>
      </w:r>
    </w:p>
    <w:p w14:paraId="76C67848" w14:textId="77777777" w:rsidR="00231829" w:rsidRPr="00F947D7" w:rsidRDefault="00231829" w:rsidP="00231829">
      <w:pPr>
        <w:spacing w:before="60" w:after="60" w:line="240" w:lineRule="auto"/>
        <w:ind w:right="-360" w:firstLine="10"/>
        <w:rPr>
          <w:rFonts w:eastAsia="MS Mincho"/>
          <w:b/>
          <w:szCs w:val="22"/>
        </w:rPr>
      </w:pPr>
    </w:p>
    <w:p w14:paraId="37015805" w14:textId="77777777" w:rsidR="00231829" w:rsidRPr="00F947D7" w:rsidRDefault="00231829" w:rsidP="00231829">
      <w:pPr>
        <w:spacing w:before="0" w:line="240" w:lineRule="auto"/>
        <w:ind w:firstLine="0"/>
        <w:rPr>
          <w:szCs w:val="22"/>
        </w:rPr>
      </w:pPr>
      <w:r w:rsidRPr="00F947D7">
        <w:rPr>
          <w:szCs w:val="22"/>
        </w:rPr>
        <w:t xml:space="preserve">1.  </w:t>
      </w:r>
      <w:r w:rsidRPr="00F947D7">
        <w:rPr>
          <w:szCs w:val="22"/>
          <w:u w:val="single"/>
        </w:rPr>
        <w:t>Perpetual License</w:t>
      </w:r>
      <w:r w:rsidRPr="00F947D7">
        <w:rPr>
          <w:szCs w:val="22"/>
        </w:rPr>
        <w:t xml:space="preserve">. IPI grants Licensee, effective upon delivery of the Software, a perpetual, non-exclusive, non-transferable, right to (a) use the Software in binary form on a single piece of hardware, and (b) copy the provided documentation for Licensee’s use with the Software. Each copy of the Software used on piece of hardware must have a separate license. The license is not transferable between different pieces of hardware. But the license transfers with the sale of the hardware the Software is loaded on.       </w:t>
      </w:r>
    </w:p>
    <w:p w14:paraId="499A8704" w14:textId="77777777" w:rsidR="00231829" w:rsidRPr="00F947D7" w:rsidRDefault="00231829" w:rsidP="00231829">
      <w:pPr>
        <w:spacing w:before="0" w:line="240" w:lineRule="auto"/>
        <w:ind w:firstLine="0"/>
        <w:rPr>
          <w:szCs w:val="22"/>
          <w:u w:val="single"/>
        </w:rPr>
      </w:pPr>
    </w:p>
    <w:p w14:paraId="483A7E11" w14:textId="77777777" w:rsidR="00231829" w:rsidRPr="00F947D7" w:rsidRDefault="00231829" w:rsidP="00231829">
      <w:pPr>
        <w:spacing w:before="0" w:line="240" w:lineRule="auto"/>
        <w:ind w:firstLine="0"/>
        <w:rPr>
          <w:szCs w:val="22"/>
        </w:rPr>
      </w:pPr>
      <w:r w:rsidRPr="00F947D7">
        <w:rPr>
          <w:szCs w:val="22"/>
        </w:rPr>
        <w:t xml:space="preserve">2.  </w:t>
      </w:r>
      <w:r w:rsidRPr="00F947D7">
        <w:rPr>
          <w:szCs w:val="22"/>
          <w:u w:val="single"/>
        </w:rPr>
        <w:t>Ownership and Title</w:t>
      </w:r>
      <w:r w:rsidRPr="00F947D7">
        <w:rPr>
          <w:szCs w:val="22"/>
        </w:rPr>
        <w:t xml:space="preserve">. Licensee agrees that the Software is licensed and not sold to Licensee under this Agreement and the Software and documentation, and all intellectual property rights therein, are and shall remain the sole and exclusive property of IPI and its licensors. Licensee agrees IPI may use any feedback and ideas Licensee provides for any purposes.   </w:t>
      </w:r>
    </w:p>
    <w:p w14:paraId="0703354F" w14:textId="77777777" w:rsidR="00231829" w:rsidRPr="00F947D7" w:rsidRDefault="00231829" w:rsidP="00231829">
      <w:pPr>
        <w:spacing w:before="0" w:line="240" w:lineRule="auto"/>
        <w:ind w:firstLine="0"/>
        <w:rPr>
          <w:szCs w:val="22"/>
          <w:u w:val="single"/>
        </w:rPr>
      </w:pPr>
    </w:p>
    <w:p w14:paraId="2120D717" w14:textId="77777777" w:rsidR="00231829" w:rsidRPr="00F947D7" w:rsidRDefault="00231829" w:rsidP="00231829">
      <w:pPr>
        <w:keepNext/>
        <w:autoSpaceDE w:val="0"/>
        <w:autoSpaceDN w:val="0"/>
        <w:adjustRightInd w:val="0"/>
        <w:spacing w:before="0" w:line="240" w:lineRule="auto"/>
        <w:ind w:firstLine="0"/>
        <w:rPr>
          <w:szCs w:val="22"/>
        </w:rPr>
      </w:pPr>
      <w:r w:rsidRPr="00F947D7">
        <w:rPr>
          <w:szCs w:val="22"/>
        </w:rPr>
        <w:t xml:space="preserve">3.  </w:t>
      </w:r>
      <w:r w:rsidRPr="00F947D7">
        <w:rPr>
          <w:szCs w:val="22"/>
          <w:u w:val="single"/>
        </w:rPr>
        <w:t>Limited Warranty</w:t>
      </w:r>
      <w:r w:rsidRPr="00F947D7">
        <w:rPr>
          <w:szCs w:val="22"/>
        </w:rPr>
        <w:t>. IPI warrants to Licensee that for a period of sixty (60) days after the Software is delivered to Licensee ("Warranty Period"), the Software will conform in all material respects to the provided documentation.  Any claims under this warranty must be in writing and must be received by IPI within the Warranty Period.  If the Software fails to conform to this warranty, then IPI shall have thirty (30) days following receipt of Licensee's warranty claim to make commercially reasonable efforts to repair or replace the Software at no charge to Licensee.  If IPI is unable to repair or replace the Software, Licensee may terminate this Agreement. This is IPI’s sole obligation and Licensee's sole remedy for any breach of this warranty.</w:t>
      </w:r>
    </w:p>
    <w:p w14:paraId="03E85A76" w14:textId="77777777" w:rsidR="00231829" w:rsidRPr="00F947D7" w:rsidRDefault="00231829" w:rsidP="00231829">
      <w:pPr>
        <w:autoSpaceDE w:val="0"/>
        <w:autoSpaceDN w:val="0"/>
        <w:adjustRightInd w:val="0"/>
        <w:spacing w:before="0" w:line="240" w:lineRule="auto"/>
        <w:ind w:firstLine="0"/>
        <w:rPr>
          <w:szCs w:val="22"/>
        </w:rPr>
      </w:pPr>
    </w:p>
    <w:p w14:paraId="03E310D3" w14:textId="77777777" w:rsidR="00231829" w:rsidRPr="00F947D7" w:rsidRDefault="00231829" w:rsidP="00231829">
      <w:pPr>
        <w:autoSpaceDE w:val="0"/>
        <w:autoSpaceDN w:val="0"/>
        <w:adjustRightInd w:val="0"/>
        <w:spacing w:before="0" w:line="240" w:lineRule="auto"/>
        <w:ind w:firstLine="0"/>
        <w:rPr>
          <w:szCs w:val="22"/>
          <w:u w:val="single"/>
        </w:rPr>
      </w:pPr>
      <w:r w:rsidRPr="00F947D7">
        <w:rPr>
          <w:szCs w:val="22"/>
        </w:rPr>
        <w:t xml:space="preserve">4. </w:t>
      </w:r>
      <w:r w:rsidRPr="00F947D7">
        <w:rPr>
          <w:szCs w:val="22"/>
          <w:u w:val="single"/>
        </w:rPr>
        <w:t>DISCLAIMER OF OTHER WARRANTIES</w:t>
      </w:r>
      <w:r w:rsidRPr="00F947D7">
        <w:rPr>
          <w:szCs w:val="22"/>
        </w:rPr>
        <w:t>.  EXCEPT AS EXPRESSLY ABOVE THE SOFTWARE AND DOCUMENTATION PROVIDED BY IPI ARE DELIVERED “AS IS,” AND IPI MAKES NO OTHER REPRESENTATIONS OR WARRANTIES, WHETHER EXPRESS, IMPLIED, STATUTORY, OR OTHERWISE, INCLUDING, WITHOUT LIMITATION, THE IMPLIED WARRANTIES OF FITNESS FOR A PARTICULAR PURPOSE, MERCHANTABILITY, TITLE OR NON-INFRINGEMENT. WITHOUT LIMITATION, IPI DOES NOT WARRANT THAT THE SOFTWARE IS ERROR-FREE OR WILL OPERATE WITHOUT INTERRUPTION, AND NO WARRANTY IS PROVIDED FOR USE OF THE SOFTWARE ON A PLATFORM (HARDWARE AND/OR SOFTWARE) NOT SPECIFIED IN THE APPLICABLE DOCUMENTATION.</w:t>
      </w:r>
    </w:p>
    <w:p w14:paraId="39092BB8" w14:textId="77777777" w:rsidR="00231829" w:rsidRPr="00F947D7" w:rsidRDefault="00231829" w:rsidP="00231829">
      <w:pPr>
        <w:spacing w:before="0" w:line="240" w:lineRule="auto"/>
        <w:ind w:firstLine="0"/>
        <w:rPr>
          <w:szCs w:val="22"/>
          <w:u w:val="single"/>
          <w:lang w:eastAsia="ja-JP"/>
        </w:rPr>
      </w:pPr>
    </w:p>
    <w:p w14:paraId="2FDF0D1C" w14:textId="77777777" w:rsidR="00231829" w:rsidRPr="00F947D7" w:rsidRDefault="00231829" w:rsidP="00231829">
      <w:pPr>
        <w:spacing w:before="0" w:line="240" w:lineRule="auto"/>
        <w:ind w:firstLine="0"/>
        <w:rPr>
          <w:szCs w:val="22"/>
          <w:u w:val="single"/>
          <w:lang w:eastAsia="ja-JP"/>
        </w:rPr>
      </w:pPr>
      <w:r w:rsidRPr="00F947D7">
        <w:rPr>
          <w:szCs w:val="22"/>
        </w:rPr>
        <w:t xml:space="preserve">5.  </w:t>
      </w:r>
      <w:r w:rsidRPr="00F947D7">
        <w:rPr>
          <w:szCs w:val="22"/>
          <w:u w:val="single"/>
        </w:rPr>
        <w:t>LIMITATION OF LIABILITY</w:t>
      </w:r>
      <w:r w:rsidRPr="00F947D7">
        <w:rPr>
          <w:szCs w:val="22"/>
        </w:rPr>
        <w:t xml:space="preserve">.  </w:t>
      </w:r>
      <w:r w:rsidRPr="00F947D7">
        <w:rPr>
          <w:bCs/>
          <w:szCs w:val="22"/>
        </w:rPr>
        <w:t xml:space="preserve">IN NO EVENT SHALL IPI OR ITS LICNESORS BE LIABLE TO LICENSEE, ITS AFFILIATES OR ANY THIRD PARTY, FOR ANY DIRECT, CONSEQUENTIAL, INCIDENTAL, INDIRECT OR SPECIAL DAMAGES (INCLUDING LOST PROFITS, LOST DATA, OR COST OF SUBSTITUTE GOODS OR SERVICES) OR FOR PUNITIVE DAMAGES, ARISING OUT OF THIS AGREEMENT, HOWEVER CAUSED AND WHETHER SUCH DAMAGES ARE BASED IN TORT (INCLUDING NEGLIGENCE), CONTRACT, OR OTHERWISE, AND WHETHER </w:t>
      </w:r>
      <w:r w:rsidRPr="00F947D7">
        <w:rPr>
          <w:bCs/>
          <w:szCs w:val="22"/>
        </w:rPr>
        <w:lastRenderedPageBreak/>
        <w:t>OR NOT SUCH PARTY HAS BEEN ADVISED OF THE POSSIBILITY OF SUCH DAMAGES. IN NO EVENT SHALL IPI’</w:t>
      </w:r>
      <w:r w:rsidRPr="00F947D7">
        <w:rPr>
          <w:rFonts w:eastAsia="MS Mincho"/>
          <w:bCs/>
          <w:szCs w:val="22"/>
          <w:lang w:eastAsia="ja-JP"/>
        </w:rPr>
        <w:t>S</w:t>
      </w:r>
      <w:r w:rsidRPr="00F947D7">
        <w:rPr>
          <w:bCs/>
          <w:szCs w:val="22"/>
        </w:rPr>
        <w:t xml:space="preserve"> AGGREGATE LIABILITY UNDER THIS AGREEMENT EXCEED THE AMOUNTS ACTUALLY RECEIVED BY IPI FROM LICENSEE UNDER THIS AGREEMENT DURING THE TWELVE (12) MONTH PERIOD PRIOR TO LICENSEE'S CLAIM. THESE LIMITATIONS ARE CUMLATIVE AND NOT PER INCIDENT.</w:t>
      </w:r>
      <w:r w:rsidRPr="00F947D7">
        <w:rPr>
          <w:b/>
          <w:szCs w:val="22"/>
        </w:rPr>
        <w:t xml:space="preserve">  </w:t>
      </w:r>
    </w:p>
    <w:p w14:paraId="1B06A7CB" w14:textId="77777777" w:rsidR="00231829" w:rsidRPr="00F947D7" w:rsidRDefault="00231829" w:rsidP="00231829">
      <w:pPr>
        <w:keepNext/>
        <w:spacing w:before="0" w:line="240" w:lineRule="auto"/>
        <w:ind w:firstLine="0"/>
        <w:rPr>
          <w:szCs w:val="22"/>
        </w:rPr>
      </w:pPr>
    </w:p>
    <w:p w14:paraId="695FC832" w14:textId="77777777" w:rsidR="00231829" w:rsidRPr="00F947D7" w:rsidRDefault="00231829" w:rsidP="00231829">
      <w:pPr>
        <w:keepNext/>
        <w:spacing w:before="0" w:line="240" w:lineRule="auto"/>
        <w:ind w:firstLine="0"/>
        <w:rPr>
          <w:snapToGrid w:val="0"/>
          <w:szCs w:val="22"/>
        </w:rPr>
      </w:pPr>
      <w:r w:rsidRPr="00F947D7">
        <w:rPr>
          <w:szCs w:val="22"/>
        </w:rPr>
        <w:t xml:space="preserve">6.  </w:t>
      </w:r>
      <w:r w:rsidRPr="00F947D7">
        <w:rPr>
          <w:szCs w:val="22"/>
          <w:u w:val="single"/>
        </w:rPr>
        <w:t>Maintenance and Support</w:t>
      </w:r>
      <w:r w:rsidRPr="00F947D7">
        <w:rPr>
          <w:szCs w:val="22"/>
        </w:rPr>
        <w:t xml:space="preserve">.  Maintenance and support services for the Software are only provided in a separate agreement. Licensee may not use or install updates or upgrades to the Software provided under IPI’s maintenance and support services without such an agreement. Licensee agrees IPI may audit its use of the Software. If Licensee’s usage exceeds purchased licenses, Licensee will reimburse IPI for such audit and pay any license fees due for excessive use.  </w:t>
      </w:r>
    </w:p>
    <w:p w14:paraId="1A9021E0" w14:textId="77777777" w:rsidR="00231829" w:rsidRPr="00F947D7" w:rsidRDefault="00231829" w:rsidP="00231829">
      <w:pPr>
        <w:spacing w:before="0" w:line="240" w:lineRule="auto"/>
        <w:ind w:firstLine="0"/>
        <w:rPr>
          <w:szCs w:val="22"/>
        </w:rPr>
      </w:pPr>
    </w:p>
    <w:p w14:paraId="26703D95" w14:textId="77777777" w:rsidR="00231829" w:rsidRPr="00F947D7" w:rsidRDefault="00231829" w:rsidP="00231829">
      <w:pPr>
        <w:spacing w:before="0" w:line="240" w:lineRule="auto"/>
        <w:ind w:firstLine="0"/>
        <w:rPr>
          <w:szCs w:val="22"/>
        </w:rPr>
      </w:pPr>
      <w:r w:rsidRPr="00F947D7">
        <w:rPr>
          <w:szCs w:val="22"/>
        </w:rPr>
        <w:t xml:space="preserve">7.  </w:t>
      </w:r>
      <w:r w:rsidRPr="00F947D7">
        <w:rPr>
          <w:szCs w:val="22"/>
          <w:u w:val="single"/>
        </w:rPr>
        <w:t>Term and Termination</w:t>
      </w:r>
      <w:r w:rsidRPr="00F947D7">
        <w:rPr>
          <w:szCs w:val="22"/>
        </w:rPr>
        <w:t>. The term of this Agreement shall begin when the Software is delivered and terminates when this Agreement is terminated under this clause and terms of the Agreement.  Either party may terminate this Agreement upon written notice to the other party, in the event of a material breach by the other party that is not cured within thirty (30) days after written notice thereof. In the event of any termination of this Agreement, all accrued obligations, including, without limitation, all obligations to pay License fees shall remain in effect, Licensee’s right and licenses under this Agreement shall immediately terminate, and Licensee shall, (</w:t>
      </w:r>
      <w:proofErr w:type="spellStart"/>
      <w:r w:rsidRPr="00F947D7">
        <w:rPr>
          <w:szCs w:val="22"/>
        </w:rPr>
        <w:t>i</w:t>
      </w:r>
      <w:proofErr w:type="spellEnd"/>
      <w:r w:rsidRPr="00F947D7">
        <w:rPr>
          <w:szCs w:val="22"/>
        </w:rPr>
        <w:t>) at IPI’</w:t>
      </w:r>
      <w:r w:rsidRPr="00F947D7">
        <w:rPr>
          <w:rFonts w:eastAsia="MS Mincho"/>
          <w:szCs w:val="22"/>
          <w:lang w:eastAsia="ja-JP"/>
        </w:rPr>
        <w:t>s</w:t>
      </w:r>
      <w:r w:rsidRPr="00F947D7">
        <w:rPr>
          <w:szCs w:val="22"/>
        </w:rPr>
        <w:t xml:space="preserve"> option, return to IPI or destroy all copies of the Software and Documentation, and (ii) provide written certification in the form specified by IPI of such return or destruction; provided, however, that if the termination is for IPI’s breach, Licensee may continue using the Software and documentation.</w:t>
      </w:r>
    </w:p>
    <w:p w14:paraId="3AF7413D" w14:textId="77777777" w:rsidR="00231829" w:rsidRPr="00F947D7" w:rsidRDefault="00231829" w:rsidP="00231829">
      <w:pPr>
        <w:keepNext/>
        <w:spacing w:before="0" w:line="240" w:lineRule="auto"/>
        <w:ind w:firstLine="0"/>
        <w:rPr>
          <w:szCs w:val="22"/>
        </w:rPr>
      </w:pPr>
    </w:p>
    <w:p w14:paraId="3A8E9F45" w14:textId="77777777" w:rsidR="00231829" w:rsidRPr="00F947D7" w:rsidRDefault="00231829" w:rsidP="00231829">
      <w:pPr>
        <w:keepNext/>
        <w:spacing w:before="0" w:line="240" w:lineRule="auto"/>
        <w:ind w:firstLine="0"/>
        <w:rPr>
          <w:szCs w:val="22"/>
        </w:rPr>
      </w:pPr>
      <w:r w:rsidRPr="00F947D7">
        <w:rPr>
          <w:szCs w:val="22"/>
        </w:rPr>
        <w:t xml:space="preserve">8.  </w:t>
      </w:r>
      <w:r w:rsidRPr="00F947D7">
        <w:rPr>
          <w:szCs w:val="22"/>
          <w:u w:val="single"/>
        </w:rPr>
        <w:t>Open Source Software</w:t>
      </w:r>
      <w:r w:rsidRPr="00F947D7">
        <w:rPr>
          <w:szCs w:val="22"/>
        </w:rPr>
        <w:t xml:space="preserve">. Third party open source software (“OSS”) is aggregated and provided as object code in a separate library which is used with the Software but is not part of the Software.  The OSS is provided at no charge and is subject to the license agreements provided with the OSS. Attributions and OSS licenses are provided with the OSS. IPI will provide a copy of the source code to OSS to Licensee at no charge upon request. </w:t>
      </w:r>
    </w:p>
    <w:p w14:paraId="0C80F94E" w14:textId="77777777" w:rsidR="00231829" w:rsidRPr="00F947D7" w:rsidRDefault="00231829" w:rsidP="00231829">
      <w:pPr>
        <w:keepNext/>
        <w:spacing w:before="0" w:line="240" w:lineRule="auto"/>
        <w:ind w:firstLine="0"/>
        <w:rPr>
          <w:szCs w:val="22"/>
        </w:rPr>
      </w:pPr>
    </w:p>
    <w:p w14:paraId="4AE8D3A4" w14:textId="77777777" w:rsidR="00231829" w:rsidRPr="00F947D7" w:rsidRDefault="00231829" w:rsidP="00231829">
      <w:pPr>
        <w:keepNext/>
        <w:spacing w:before="0" w:line="240" w:lineRule="auto"/>
        <w:ind w:firstLine="0"/>
        <w:rPr>
          <w:szCs w:val="22"/>
        </w:rPr>
      </w:pPr>
      <w:r w:rsidRPr="00F947D7">
        <w:rPr>
          <w:szCs w:val="22"/>
        </w:rPr>
        <w:t xml:space="preserve">9. </w:t>
      </w:r>
      <w:r w:rsidRPr="00F947D7">
        <w:rPr>
          <w:szCs w:val="22"/>
          <w:u w:val="single"/>
        </w:rPr>
        <w:t>Evaluation and Beta Testing</w:t>
      </w:r>
      <w:r w:rsidRPr="00F947D7">
        <w:rPr>
          <w:szCs w:val="22"/>
        </w:rPr>
        <w:t>. If Licensee did not purchase or pay for a license fee for the software, the term of the license is as provided in a separate evaluation or beta test agreement, or if none, then the license term is 30 days. This Agreement terminates at the end of the license term. Limited term licenses are on an “AS IS” basis with no warranties and the Software may not be used in any production environment and may only be used for test and evaluation.</w:t>
      </w:r>
    </w:p>
    <w:p w14:paraId="610C1E28" w14:textId="77777777" w:rsidR="00231829" w:rsidRPr="00F947D7" w:rsidRDefault="00231829" w:rsidP="00231829">
      <w:pPr>
        <w:spacing w:before="0" w:line="240" w:lineRule="auto"/>
        <w:ind w:firstLine="0"/>
        <w:rPr>
          <w:szCs w:val="22"/>
        </w:rPr>
      </w:pPr>
      <w:r w:rsidRPr="00F947D7">
        <w:rPr>
          <w:szCs w:val="22"/>
        </w:rPr>
        <w:t xml:space="preserve"> </w:t>
      </w:r>
    </w:p>
    <w:p w14:paraId="28EDCDBB" w14:textId="43E7C96B" w:rsidR="00231829" w:rsidRDefault="00231829" w:rsidP="00231829">
      <w:pPr>
        <w:tabs>
          <w:tab w:val="left" w:pos="9360"/>
        </w:tabs>
        <w:ind w:right="540" w:firstLine="0"/>
        <w:rPr>
          <w:szCs w:val="22"/>
        </w:rPr>
      </w:pPr>
      <w:r w:rsidRPr="00F947D7">
        <w:rPr>
          <w:szCs w:val="22"/>
        </w:rPr>
        <w:t xml:space="preserve">10.  </w:t>
      </w:r>
      <w:r w:rsidRPr="00F947D7">
        <w:rPr>
          <w:szCs w:val="22"/>
          <w:u w:val="single"/>
        </w:rPr>
        <w:t>General</w:t>
      </w:r>
      <w:r w:rsidRPr="00F947D7">
        <w:rPr>
          <w:szCs w:val="22"/>
        </w:rPr>
        <w:t>. Licensee represents and warrants that it will at all times comply with all applicable U.S. and foreign export control laws and regulations governing export or re-export of the Software, and all applicable U.S. and foreign laws and regulations which restrict use of controlled technical data by foreign nationals. The Software is deemed “commercial computer software” and the documentation is “commercial computer software documentation under FAR 12.212 and DFARS 227.7202. All U.S. government users acquire the Software under the terms of this Agreement unless terms are inconsistent with federal procurement regulations. Licensee will not reverse engineer, decompile, or attempt to derive the source code to the Software, make the functionality of the Software available to third parties, or use the Software virtually or on a standalone basis.</w:t>
      </w:r>
      <w:r w:rsidR="005D65BE">
        <w:rPr>
          <w:szCs w:val="22"/>
        </w:rPr>
        <w:t xml:space="preserve"> Lic</w:t>
      </w:r>
      <w:r w:rsidR="008F5052">
        <w:rPr>
          <w:szCs w:val="22"/>
        </w:rPr>
        <w:t xml:space="preserve">ensee agrees </w:t>
      </w:r>
      <w:bookmarkStart w:id="0" w:name="_GoBack"/>
      <w:bookmarkEnd w:id="0"/>
      <w:r w:rsidR="005D65BE">
        <w:rPr>
          <w:szCs w:val="22"/>
        </w:rPr>
        <w:t xml:space="preserve">IPI may use </w:t>
      </w:r>
      <w:r w:rsidR="008F5052">
        <w:rPr>
          <w:szCs w:val="22"/>
        </w:rPr>
        <w:t>Licensee’s</w:t>
      </w:r>
      <w:r w:rsidR="005D65BE">
        <w:rPr>
          <w:szCs w:val="22"/>
        </w:rPr>
        <w:t xml:space="preserve"> name and logo for marketing collateral including websites, white papers and brochures. </w:t>
      </w:r>
      <w:r w:rsidRPr="00F947D7">
        <w:rPr>
          <w:szCs w:val="22"/>
        </w:rPr>
        <w:t xml:space="preserve">There are no intended beneficiaries under this Agreement and, other than the parties to this Agreement, no person or entity may enforce this Agreement under Contracts (Rights of Third Parties Act) 1999 and similar laws. Unless there is a separate agreement between the parties for the license of the Software, which agreement shall control the terms of the license this Agreement, constitutes the entire agreement between the parties with respect to the subject </w:t>
      </w:r>
      <w:r w:rsidRPr="00F947D7">
        <w:rPr>
          <w:szCs w:val="22"/>
        </w:rPr>
        <w:lastRenderedPageBreak/>
        <w:t>matter hereof, and supersedes any prior or contemporaneous agreement, statement, representation or condition, whether oral or written. This is a license and not a sale of intellectual property. All fees are nonrefundable, and this Agreement may not be cancelled except as provided in this Agreement. This Agreement shall be governed by and construed under California law, excluding any conflict of laws principles. The parties agree that the exclusive venue for any dispute arising under this Agreement shall be in the federal or state courts in Santa Clara County, California, and each party consents to the exclusive jurisdiction in those courts. If such jurisdiction is prohibited or renders a judgment unenforceable, then the parties agree to resolve all disputes through the binding arbitration under the International Centre for Dispute Resolution’s International Arbitration Rules with venue in Santa Clara County, California applying California Law and the language used shall be English. The arbitration award shall be enforceable in any court of competent jurisdiction. Ancillary proceedings for injunctions based on intellectual property claims may be brought in any court of competent jurisdiction without waiver of the agreed jurisdiction and venue.</w:t>
      </w:r>
    </w:p>
    <w:p w14:paraId="10464225" w14:textId="77777777" w:rsidR="00AC70EB" w:rsidRDefault="008F5052"/>
    <w:sectPr w:rsidR="00AC70EB" w:rsidSect="00D73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29"/>
    <w:rsid w:val="00231829"/>
    <w:rsid w:val="00327477"/>
    <w:rsid w:val="005D65BE"/>
    <w:rsid w:val="008F5052"/>
    <w:rsid w:val="00A139A8"/>
    <w:rsid w:val="00A762CD"/>
    <w:rsid w:val="00D6127E"/>
    <w:rsid w:val="00D73FCE"/>
    <w:rsid w:val="00DC7B47"/>
    <w:rsid w:val="00ED6BA6"/>
    <w:rsid w:val="00F9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01C0"/>
  <w15:chartTrackingRefBased/>
  <w15:docId w15:val="{00E4469C-0451-C84D-8B7A-B4549182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29"/>
    <w:pPr>
      <w:spacing w:before="240" w:line="240" w:lineRule="atLeast"/>
      <w:ind w:firstLine="720"/>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1349</Words>
  <Characters>7692</Characters>
  <Application>Microsoft Office Word</Application>
  <DocSecurity>0</DocSecurity>
  <Lines>64</Lines>
  <Paragraphs>18</Paragraphs>
  <ScaleCrop>false</ScaleCrop>
  <Company>Law Office of Adron W. Beene</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Adron Beene</dc:creator>
  <cp:keywords/>
  <dc:description/>
  <cp:lastModifiedBy>Adron Beene</cp:lastModifiedBy>
  <cp:revision>3</cp:revision>
  <dcterms:created xsi:type="dcterms:W3CDTF">2020-05-06T22:43:00Z</dcterms:created>
  <dcterms:modified xsi:type="dcterms:W3CDTF">2020-05-06T22:46:00Z</dcterms:modified>
</cp:coreProperties>
</file>